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1"/>
        <w:ind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Ответственность несовершеннолетних за телефонный терроризм</w:t>
      </w:r>
    </w:p>
    <w:p w14:paraId="14000000">
      <w:pPr>
        <w:pStyle w:val="Style_2"/>
        <w:ind w:firstLine="540" w:left="0"/>
        <w:jc w:val="both"/>
      </w:pPr>
    </w:p>
    <w:p w14:paraId="15000000">
      <w:pPr>
        <w:pStyle w:val="Style_2"/>
        <w:spacing w:before="0" w:line="240" w:lineRule="auto"/>
        <w:ind w:firstLine="540" w:left="0"/>
        <w:jc w:val="both"/>
      </w:pPr>
      <w:r>
        <w:rPr>
          <w:sz w:val="24"/>
        </w:rPr>
        <w:t>С учетом сложившейся практики под телефонным терроризмом следует понимать заведомо ложное сообщение о наличии взрывного устройства в каком-либо месте, включая объекты социальной инфраструктуры.</w:t>
      </w:r>
    </w:p>
    <w:p w14:paraId="16000000">
      <w:pPr>
        <w:pStyle w:val="Style_2"/>
        <w:spacing w:before="0" w:line="240" w:lineRule="auto"/>
        <w:ind w:firstLine="540" w:left="0"/>
        <w:jc w:val="both"/>
      </w:pPr>
      <w:r>
        <w:rPr>
          <w:sz w:val="24"/>
        </w:rPr>
        <w:t xml:space="preserve">Такие действия квалифицируются как уголовное преступление, предусмотренное </w:t>
      </w:r>
      <w:r>
        <w:rPr>
          <w:sz w:val="24"/>
        </w:rPr>
        <w:t>ст. 207</w:t>
      </w:r>
      <w:r>
        <w:rPr>
          <w:sz w:val="24"/>
        </w:rPr>
        <w:t xml:space="preserve"> УК РФ (заведомо ложное сообщение об акте терроризма). Указанная </w:t>
      </w:r>
      <w:r>
        <w:rPr>
          <w:sz w:val="24"/>
        </w:rPr>
        <w:t>норма</w:t>
      </w:r>
      <w:r>
        <w:rPr>
          <w:sz w:val="24"/>
        </w:rPr>
        <w:t xml:space="preserve"> состоит из 4 частей, регламентирующих уголовное наказание в зависимости от тяжести наступивших последствий действий телефонных террористов.</w:t>
      </w:r>
    </w:p>
    <w:p w14:paraId="17000000">
      <w:pPr>
        <w:pStyle w:val="Style_2"/>
        <w:spacing w:before="0" w:line="240" w:lineRule="auto"/>
        <w:ind w:firstLine="540" w:left="0"/>
        <w:jc w:val="both"/>
      </w:pPr>
      <w:r>
        <w:rPr>
          <w:sz w:val="24"/>
        </w:rPr>
        <w:t xml:space="preserve">Согласно указанной </w:t>
      </w:r>
      <w:r>
        <w:rPr>
          <w:sz w:val="24"/>
        </w:rPr>
        <w:t>норме</w:t>
      </w:r>
      <w:r>
        <w:rPr>
          <w:sz w:val="24"/>
        </w:rPr>
        <w:t xml:space="preserve"> обязательным признаком совершения данного преступления является мотив хулиганских побуждений, т.е. действий, выражающих грубое и явное неуважение к обществу.</w:t>
      </w:r>
    </w:p>
    <w:p w14:paraId="18000000">
      <w:pPr>
        <w:pStyle w:val="Style_2"/>
        <w:spacing w:before="0" w:line="240" w:lineRule="auto"/>
        <w:ind w:firstLine="540" w:left="0"/>
        <w:jc w:val="both"/>
      </w:pPr>
      <w:r>
        <w:rPr>
          <w:sz w:val="24"/>
        </w:rPr>
        <w:t>Сообщение с угрозами может быть выражено в любой форме (устно, письменно, с помощью средств связи).</w:t>
      </w:r>
    </w:p>
    <w:p w14:paraId="19000000">
      <w:pPr>
        <w:pStyle w:val="Style_2"/>
        <w:spacing w:before="0" w:line="240" w:lineRule="auto"/>
        <w:ind w:firstLine="540" w:left="0"/>
        <w:jc w:val="both"/>
      </w:pPr>
      <w:r>
        <w:rPr>
          <w:sz w:val="24"/>
        </w:rPr>
        <w:t>При этом сообщение подобного рода может быть направлено любому адресату (правоохранительным органам, органам власти, руководителям предприятий, учреждений, организаций, а также гражданам).</w:t>
      </w:r>
    </w:p>
    <w:p w14:paraId="1A000000">
      <w:pPr>
        <w:pStyle w:val="Style_2"/>
        <w:spacing w:before="0" w:line="240" w:lineRule="auto"/>
        <w:ind w:firstLine="540" w:left="0"/>
        <w:jc w:val="both"/>
      </w:pPr>
      <w:r>
        <w:rPr>
          <w:sz w:val="24"/>
        </w:rPr>
        <w:t xml:space="preserve">Так, по </w:t>
      </w:r>
      <w:r>
        <w:rPr>
          <w:sz w:val="24"/>
        </w:rPr>
        <w:t>ч. 1 ст. 207</w:t>
      </w:r>
      <w:r>
        <w:rPr>
          <w:sz w:val="24"/>
        </w:rPr>
        <w:t xml:space="preserve"> УК РФ виновное лицо может быть привлечено к уголовной ответственности в виде штрафа в размере от 200 тыс. до 500 тыс. руб. или в размере заработной платы или иного дохода осужденного за период от 1 года до 18 месяцев, либо ограничения свободы на срок до 3 лет, либо принудительных работ на срок от 2 до 3 лет.</w:t>
      </w:r>
    </w:p>
    <w:p w14:paraId="1B000000">
      <w:pPr>
        <w:pStyle w:val="Style_2"/>
        <w:spacing w:before="0" w:line="240" w:lineRule="auto"/>
        <w:ind w:firstLine="540" w:left="0"/>
        <w:jc w:val="both"/>
      </w:pPr>
      <w:r>
        <w:rPr>
          <w:sz w:val="24"/>
        </w:rPr>
        <w:t>Если же акт телефонного терроризма совершен в отношении объектов социальной инфраструктуры (в том числе если он повлек за собой причинение крупного ущерба), то такие действия наказываются штрафом в размере от 500 тыс. до 700 тыс. руб. или в размере заработной платы или иного дохода осужденного за период от 1 года до 2 лет либо лишением свободы на срок от 3 до 5 лет (</w:t>
      </w:r>
      <w:r>
        <w:rPr>
          <w:sz w:val="24"/>
        </w:rPr>
        <w:t>ч. 2 ст. 207</w:t>
      </w:r>
      <w:r>
        <w:rPr>
          <w:sz w:val="24"/>
        </w:rPr>
        <w:t xml:space="preserve"> УК РФ).</w:t>
      </w:r>
    </w:p>
    <w:p w14:paraId="1C000000">
      <w:pPr>
        <w:pStyle w:val="Style_2"/>
        <w:spacing w:before="0" w:line="240" w:lineRule="auto"/>
        <w:ind w:firstLine="540" w:left="0"/>
        <w:jc w:val="both"/>
      </w:pPr>
      <w:r>
        <w:rPr>
          <w:sz w:val="24"/>
        </w:rPr>
        <w:t xml:space="preserve">При этом согласно </w:t>
      </w:r>
      <w:r>
        <w:rPr>
          <w:sz w:val="24"/>
        </w:rPr>
        <w:t>примечанию 1 к ст. 207</w:t>
      </w:r>
      <w:r>
        <w:rPr>
          <w:sz w:val="24"/>
        </w:rPr>
        <w:t xml:space="preserve"> УК РФ крупным ущербом признается ущерб, сумма которого превышает 1 млн руб.</w:t>
      </w:r>
    </w:p>
    <w:p w14:paraId="1D000000">
      <w:pPr>
        <w:pStyle w:val="Style_2"/>
        <w:spacing w:before="0" w:line="240" w:lineRule="auto"/>
        <w:ind w:firstLine="540" w:left="0"/>
        <w:jc w:val="both"/>
      </w:pPr>
      <w:r>
        <w:rPr>
          <w:sz w:val="24"/>
        </w:rPr>
        <w:t xml:space="preserve">Согласно </w:t>
      </w:r>
      <w:r>
        <w:rPr>
          <w:sz w:val="24"/>
        </w:rPr>
        <w:t>ч. 3 ст. 207</w:t>
      </w:r>
      <w:r>
        <w:rPr>
          <w:sz w:val="24"/>
        </w:rPr>
        <w:t xml:space="preserve"> УК РФ если указанные действия в виде акта телефонного терроризма совершены исключительно в целях дестабилизации деятельности органов власти, то такие действия наказывается штрафом в размере от 700 тыс. до 1 млн руб. или в размере заработной платы или иного дохода осужденного за период от 1 года до 3 лет либо лишением свободы на срок от 6 до 8 лет.</w:t>
      </w:r>
    </w:p>
    <w:p w14:paraId="1E000000">
      <w:pPr>
        <w:pStyle w:val="Style_2"/>
        <w:spacing w:before="0" w:line="240" w:lineRule="auto"/>
        <w:ind w:firstLine="540" w:left="0"/>
        <w:jc w:val="both"/>
      </w:pPr>
      <w:r>
        <w:rPr>
          <w:sz w:val="24"/>
        </w:rPr>
        <w:t>Следует учитывать, что общественная опасность преступлений, связанных с фактами терроризма, чрезвычайно велика, т.к. предопределяет неизбежную атмосферу паники в обществе и срыв нормального функционирования учреждений и организаций. Подобные деяния, совершенные из хулиганских побуждений, тем не менее могут повлечь за собой по неосторожности смерть человека (или нескольких людей, а также иные тяжкие последствия).</w:t>
      </w:r>
    </w:p>
    <w:p w14:paraId="1F000000">
      <w:pPr>
        <w:pStyle w:val="Style_2"/>
        <w:spacing w:before="0" w:line="240" w:lineRule="auto"/>
        <w:ind w:firstLine="540" w:left="0"/>
        <w:jc w:val="both"/>
      </w:pPr>
      <w:r>
        <w:rPr>
          <w:sz w:val="24"/>
        </w:rPr>
        <w:t xml:space="preserve">В этом случае уголовная ответственность наступает по </w:t>
      </w:r>
      <w:r>
        <w:rPr>
          <w:sz w:val="24"/>
        </w:rPr>
        <w:t>ч. 4 ст. 207</w:t>
      </w:r>
      <w:r>
        <w:rPr>
          <w:sz w:val="24"/>
        </w:rPr>
        <w:t xml:space="preserve"> УК РФ, где виновный может быть подвергнут штрафу в размере от 1,5 млн до 2 млн руб. или в размере заработной платы или иного дохода осужденного за период от 2 до 3 лет либо лишению свободы на срок от 8 до 10 лет.</w:t>
      </w:r>
    </w:p>
    <w:p w14:paraId="20000000">
      <w:pPr>
        <w:pStyle w:val="Style_2"/>
        <w:spacing w:before="0" w:line="240" w:lineRule="auto"/>
        <w:ind w:firstLine="540" w:left="0"/>
        <w:jc w:val="both"/>
      </w:pPr>
      <w:r>
        <w:rPr>
          <w:sz w:val="24"/>
        </w:rPr>
        <w:t xml:space="preserve">Уголовная ответственность за совершение преступления, предусмотренного </w:t>
      </w:r>
      <w:r>
        <w:rPr>
          <w:sz w:val="24"/>
        </w:rPr>
        <w:t>ст. 207</w:t>
      </w:r>
      <w:r>
        <w:rPr>
          <w:sz w:val="24"/>
        </w:rPr>
        <w:t xml:space="preserve"> УК РФ, наступает в отношении лица, достигшего ко времени совершения преступления 14 лет (</w:t>
      </w:r>
      <w:r>
        <w:rPr>
          <w:sz w:val="24"/>
        </w:rPr>
        <w:t>ч. 2 ст. 20</w:t>
      </w:r>
      <w:r>
        <w:rPr>
          <w:sz w:val="24"/>
        </w:rPr>
        <w:t xml:space="preserve"> УК РФ).</w:t>
      </w:r>
    </w:p>
    <w:p w14:paraId="21000000">
      <w:pPr>
        <w:pStyle w:val="Style_2"/>
        <w:spacing w:before="0" w:line="240" w:lineRule="auto"/>
        <w:ind w:firstLine="540" w:left="0"/>
        <w:jc w:val="both"/>
      </w:pPr>
      <w:r>
        <w:rPr>
          <w:sz w:val="24"/>
        </w:rPr>
        <w:t>Отказ в возбуждении уголовного дела либо его прекращение по мотиву недостижения лицом к моменту совершения преступления возраста уголовной ответственности (</w:t>
      </w:r>
      <w:r>
        <w:rPr>
          <w:sz w:val="24"/>
        </w:rPr>
        <w:t>ч. 3 ст. 27</w:t>
      </w:r>
      <w:r>
        <w:rPr>
          <w:sz w:val="24"/>
        </w:rPr>
        <w:t xml:space="preserve"> УПК РФ) не является основанием для невозможности применения к такому лицу мер материальной ответственности.</w:t>
      </w:r>
    </w:p>
    <w:p w14:paraId="22000000">
      <w:pPr>
        <w:pStyle w:val="Style_2"/>
        <w:spacing w:before="0" w:line="240" w:lineRule="auto"/>
        <w:ind w:firstLine="540" w:left="0"/>
        <w:jc w:val="both"/>
      </w:pPr>
      <w:r>
        <w:rPr>
          <w:sz w:val="24"/>
        </w:rPr>
        <w:t>В этом случае на законных представителей такого лица (родителей, опекунов) возлагается бремя ответственности за материальный ущерб, связанный с организацией и проведением специальных мероприятий по проверке сообщения о преступлении (</w:t>
      </w:r>
      <w:r>
        <w:rPr>
          <w:sz w:val="24"/>
        </w:rPr>
        <w:t>ст. ст. 1073</w:t>
      </w:r>
      <w:r>
        <w:rPr>
          <w:sz w:val="24"/>
        </w:rPr>
        <w:t xml:space="preserve">, </w:t>
      </w:r>
      <w:r>
        <w:rPr>
          <w:sz w:val="24"/>
        </w:rPr>
        <w:t>1074</w:t>
      </w:r>
      <w:r>
        <w:rPr>
          <w:sz w:val="24"/>
        </w:rPr>
        <w:t xml:space="preserve"> ГК РФ).</w:t>
      </w:r>
    </w:p>
    <w:p w14:paraId="23000000">
      <w:pPr>
        <w:pStyle w:val="Style_2"/>
        <w:spacing w:before="0" w:line="240" w:lineRule="auto"/>
        <w:ind w:firstLine="540" w:left="0"/>
        <w:jc w:val="both"/>
      </w:pPr>
      <w:r>
        <w:rPr>
          <w:sz w:val="24"/>
        </w:rPr>
        <w:t xml:space="preserve">Так, в соответствии с </w:t>
      </w:r>
      <w:r>
        <w:rPr>
          <w:sz w:val="24"/>
        </w:rPr>
        <w:t>п. 4 ст. 1073</w:t>
      </w:r>
      <w:r>
        <w:rPr>
          <w:sz w:val="24"/>
        </w:rPr>
        <w:t xml:space="preserve"> ГК РФ малолетний, даже если располагает необходимыми средствами для возмещения вреда, не может стать субъектом ответственности, поскольку полностью неделиктоспособен.</w:t>
      </w:r>
    </w:p>
    <w:p w14:paraId="24000000">
      <w:pPr>
        <w:pStyle w:val="Style_2"/>
        <w:spacing w:before="0" w:line="240" w:lineRule="auto"/>
        <w:ind w:firstLine="540" w:left="0"/>
        <w:jc w:val="both"/>
      </w:pPr>
      <w:r>
        <w:rPr>
          <w:sz w:val="24"/>
        </w:rPr>
        <w:t xml:space="preserve">Согласно </w:t>
      </w:r>
      <w:r>
        <w:rPr>
          <w:sz w:val="24"/>
        </w:rPr>
        <w:t>п. 6</w:t>
      </w:r>
      <w:r>
        <w:rPr>
          <w:sz w:val="24"/>
        </w:rPr>
        <w:t xml:space="preserve"> Постановления Пленума Верховного Суда РФ от 13.10.2020 N 23 «О практике рассмотрения судами гражданского иска по уголовному делу» в случаях, когда вред причинен преступлением, совершенным несовершеннолетним, не имеющим доходов или иного имущества, достаточных для возмещения вреда, с учетом положений </w:t>
      </w:r>
      <w:r>
        <w:rPr>
          <w:sz w:val="24"/>
        </w:rPr>
        <w:t>ст. 1074</w:t>
      </w:r>
      <w:r>
        <w:rPr>
          <w:sz w:val="24"/>
        </w:rPr>
        <w:t xml:space="preserve"> ГК РФ и </w:t>
      </w:r>
      <w:r>
        <w:rPr>
          <w:sz w:val="24"/>
        </w:rPr>
        <w:t>ст. 155.1</w:t>
      </w:r>
      <w:r>
        <w:rPr>
          <w:sz w:val="24"/>
        </w:rPr>
        <w:t xml:space="preserve"> СК РФ его родители (усыновители) или попечители либо организация для детей-сирот и детей, оставшихся без попечения родителей, в которой несовершеннолетний находился под надзором, привлекаются в качестве гражданского ответчика наряду с обвиняемым.</w:t>
      </w:r>
    </w:p>
    <w:p w14:paraId="25000000">
      <w:pPr>
        <w:pStyle w:val="Style_2"/>
        <w:spacing w:before="0" w:line="240" w:lineRule="auto"/>
        <w:ind w:firstLine="540" w:left="0"/>
        <w:jc w:val="both"/>
      </w:pPr>
      <w:r>
        <w:rPr>
          <w:sz w:val="24"/>
        </w:rPr>
        <w:t>При таких обстоятельствах понесенные государством расходы подлежат обязательному возмещению в порядке, предусмотренном гражданским законодательством (</w:t>
      </w:r>
      <w:r>
        <w:rPr>
          <w:sz w:val="24"/>
        </w:rPr>
        <w:t>гл. 59</w:t>
      </w:r>
      <w:r>
        <w:rPr>
          <w:sz w:val="24"/>
        </w:rPr>
        <w:t xml:space="preserve"> ГК РФ).</w:t>
      </w:r>
    </w:p>
    <w:p w14:paraId="26000000">
      <w:pPr>
        <w:pStyle w:val="Style_2"/>
        <w:ind w:firstLine="540" w:left="0"/>
        <w:jc w:val="both"/>
      </w:pPr>
    </w:p>
    <w:p w14:paraId="27000000">
      <w:pPr>
        <w:pStyle w:val="Style_2"/>
        <w:ind w:firstLine="540" w:left="0"/>
        <w:jc w:val="both"/>
      </w:pPr>
    </w:p>
    <w:p w14:paraId="28000000">
      <w:pPr>
        <w:pStyle w:val="Style_2"/>
        <w:spacing w:after="100" w:before="100"/>
        <w:ind/>
        <w:jc w:val="both"/>
        <w:rPr>
          <w:sz w:val="2"/>
        </w:rPr>
      </w:pPr>
    </w:p>
    <w:sectPr>
      <w:pgSz w:h="16838" w:orient="portrait" w:w="11906"/>
      <w:pgMar w:bottom="841" w:footer="0" w:gutter="0" w:header="0" w:left="595" w:right="595" w:top="84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tbl>
    <w:tblPr>
      <w:tblW w:type="auto" w:w="0"/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7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8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9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  <w:tbl>
    <w:tblPr>
      <w:tblW w:type="auto" w:w="0"/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0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1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12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W w:type="auto" w:w="0"/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1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Статья: Телефонный терроризм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(Подготовлен для системы КонсультантПлюс, 2025)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2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18.06.2025</w:t>
          </w:r>
        </w:p>
      </w:tc>
    </w:tr>
  </w:tbl>
  <w:p w14:paraId="03000000">
    <w:pPr>
      <w:rPr>
        <w:sz w:val="2"/>
      </w:rPr>
    </w:pP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W w:type="auto" w:w="0"/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A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Статья: Телефонный терроризм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(Подготовлен для системы КонсультантПлюс, 2025)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B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18.06.2025</w:t>
          </w:r>
        </w:p>
      </w:tc>
    </w:tr>
  </w:tbl>
  <w:p w14:paraId="0C000000">
    <w:pPr>
      <w:rPr>
        <w:sz w:val="2"/>
      </w:rPr>
    </w:pPr>
  </w:p>
  <w:p w14:paraId="0D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ConsPlusNormal"/>
    <w:link w:val="Style_2_ch"/>
    <w:pPr>
      <w:widowControl w:val="0"/>
      <w:ind/>
    </w:pPr>
    <w:rPr>
      <w:rFonts w:ascii="Times New Roman" w:hAnsi="Times New Roman"/>
      <w:sz w:val="24"/>
    </w:rPr>
  </w:style>
  <w:style w:default="1" w:styleId="Style_2_ch" w:type="character">
    <w:name w:val="ConsPlusNormal"/>
    <w:link w:val="Style_2"/>
    <w:rPr>
      <w:rFonts w:ascii="Times New Roman" w:hAnsi="Times New Roman"/>
      <w:sz w:val="24"/>
    </w:rPr>
  </w:style>
  <w:style w:styleId="Style_3" w:type="paragraph">
    <w:name w:val="toc 2"/>
    <w:next w:val="Style_4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5" w:type="paragraph">
    <w:name w:val="toc 4"/>
    <w:next w:val="Style_4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ConsPlusCell"/>
    <w:link w:val="Style_6_ch"/>
    <w:pPr>
      <w:widowControl w:val="0"/>
      <w:ind/>
    </w:pPr>
    <w:rPr>
      <w:rFonts w:ascii="Courier New" w:hAnsi="Courier New"/>
      <w:sz w:val="20"/>
    </w:rPr>
  </w:style>
  <w:style w:styleId="Style_6_ch" w:type="character">
    <w:name w:val="ConsPlusCell"/>
    <w:link w:val="Style_6"/>
    <w:rPr>
      <w:rFonts w:ascii="Courier New" w:hAnsi="Courier New"/>
      <w:sz w:val="20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TitlePage"/>
    <w:link w:val="Style_9_ch"/>
    <w:pPr>
      <w:widowControl w:val="0"/>
      <w:ind/>
    </w:pPr>
    <w:rPr>
      <w:rFonts w:ascii="Tahoma" w:hAnsi="Tahoma"/>
      <w:sz w:val="20"/>
    </w:rPr>
  </w:style>
  <w:style w:styleId="Style_9_ch" w:type="character">
    <w:name w:val="ConsPlusTitlePage"/>
    <w:link w:val="Style_9"/>
    <w:rPr>
      <w:rFonts w:ascii="Tahoma" w:hAnsi="Tahoma"/>
      <w:sz w:val="20"/>
    </w:rPr>
  </w:style>
  <w:style w:styleId="Style_4" w:type="paragraph">
    <w:name w:val="Normal"/>
    <w:link w:val="Style_4_ch"/>
    <w:uiPriority w:val="0"/>
    <w:qFormat/>
  </w:style>
  <w:style w:styleId="Style_4_ch" w:type="character">
    <w:name w:val="Normal"/>
    <w:link w:val="Style_4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TextList"/>
    <w:link w:val="Style_12_ch"/>
    <w:pPr>
      <w:widowControl w:val="0"/>
      <w:ind/>
    </w:pPr>
    <w:rPr>
      <w:rFonts w:ascii="Times New Roman" w:hAnsi="Times New Roman"/>
      <w:sz w:val="24"/>
    </w:rPr>
  </w:style>
  <w:style w:styleId="Style_12_ch" w:type="character">
    <w:name w:val="ConsPlusTextList"/>
    <w:link w:val="Style_12"/>
    <w:rPr>
      <w:rFonts w:ascii="Times New Roman" w:hAnsi="Times New Roman"/>
      <w:sz w:val="24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  <w:sz w:val="24"/>
    </w:rPr>
  </w:style>
  <w:style w:styleId="Style_1_ch" w:type="character">
    <w:name w:val="ConsPlusTitle"/>
    <w:link w:val="Style_1"/>
    <w:rPr>
      <w:rFonts w:ascii="Arial" w:hAnsi="Arial"/>
      <w:b w:val="1"/>
      <w:sz w:val="24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Cell"/>
    <w:link w:val="Style_14_ch"/>
    <w:pPr>
      <w:widowControl w:val="0"/>
      <w:ind/>
    </w:pPr>
    <w:rPr>
      <w:rFonts w:ascii="Courier New" w:hAnsi="Courier New"/>
      <w:sz w:val="20"/>
    </w:rPr>
  </w:style>
  <w:style w:styleId="Style_14_ch" w:type="character">
    <w:name w:val="ConsPlusCell"/>
    <w:link w:val="Style_14"/>
    <w:rPr>
      <w:rFonts w:ascii="Courier New" w:hAnsi="Courier New"/>
      <w:sz w:val="20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ConsPlusJurTerm"/>
    <w:link w:val="Style_17_ch"/>
    <w:pPr>
      <w:widowControl w:val="0"/>
      <w:ind/>
    </w:pPr>
    <w:rPr>
      <w:rFonts w:ascii="Tahoma" w:hAnsi="Tahoma"/>
      <w:sz w:val="26"/>
    </w:rPr>
  </w:style>
  <w:style w:styleId="Style_17_ch" w:type="character">
    <w:name w:val="ConsPlusJurTerm"/>
    <w:link w:val="Style_17"/>
    <w:rPr>
      <w:rFonts w:ascii="Tahoma" w:hAnsi="Tahoma"/>
      <w:sz w:val="26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ConsPlusNonformat"/>
    <w:link w:val="Style_22_ch"/>
    <w:pPr>
      <w:widowControl w:val="0"/>
      <w:ind/>
    </w:pPr>
    <w:rPr>
      <w:rFonts w:ascii="Courier New" w:hAnsi="Courier New"/>
      <w:sz w:val="20"/>
    </w:rPr>
  </w:style>
  <w:style w:styleId="Style_22_ch" w:type="character">
    <w:name w:val="ConsPlusNonformat"/>
    <w:link w:val="Style_22"/>
    <w:rPr>
      <w:rFonts w:ascii="Courier New" w:hAnsi="Courier New"/>
      <w:sz w:val="20"/>
    </w:rPr>
  </w:style>
  <w:style w:styleId="Style_23" w:type="paragraph">
    <w:name w:val="ConsPlusTitlePage"/>
    <w:link w:val="Style_23_ch"/>
    <w:pPr>
      <w:widowControl w:val="0"/>
      <w:ind/>
    </w:pPr>
    <w:rPr>
      <w:rFonts w:ascii="Tahoma" w:hAnsi="Tahoma"/>
      <w:sz w:val="20"/>
    </w:rPr>
  </w:style>
  <w:style w:styleId="Style_23_ch" w:type="character">
    <w:name w:val="ConsPlusTitlePage"/>
    <w:link w:val="Style_23"/>
    <w:rPr>
      <w:rFonts w:ascii="Tahoma" w:hAnsi="Tahoma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ConsPlusTextList"/>
    <w:link w:val="Style_26_ch"/>
    <w:pPr>
      <w:widowControl w:val="0"/>
      <w:ind/>
    </w:pPr>
    <w:rPr>
      <w:rFonts w:ascii="Times New Roman" w:hAnsi="Times New Roman"/>
      <w:sz w:val="24"/>
    </w:rPr>
  </w:style>
  <w:style w:styleId="Style_26_ch" w:type="character">
    <w:name w:val="ConsPlusTextList"/>
    <w:link w:val="Style_26"/>
    <w:rPr>
      <w:rFonts w:ascii="Times New Roman" w:hAnsi="Times New Roman"/>
      <w:sz w:val="24"/>
    </w:rPr>
  </w:style>
  <w:style w:styleId="Style_27" w:type="paragraph">
    <w:name w:val="ConsPlusTextList"/>
    <w:link w:val="Style_27_ch"/>
    <w:pPr>
      <w:widowControl w:val="0"/>
      <w:ind/>
    </w:pPr>
    <w:rPr>
      <w:rFonts w:ascii="Times New Roman" w:hAnsi="Times New Roman"/>
      <w:sz w:val="24"/>
    </w:rPr>
  </w:style>
  <w:style w:styleId="Style_27_ch" w:type="character">
    <w:name w:val="ConsPlusTextList"/>
    <w:link w:val="Style_27"/>
    <w:rPr>
      <w:rFonts w:ascii="Times New Roman" w:hAnsi="Times New Roman"/>
      <w:sz w:val="24"/>
    </w:rPr>
  </w:style>
  <w:style w:styleId="Style_28" w:type="paragraph">
    <w:name w:val="ConsPlusDocList"/>
    <w:link w:val="Style_28_ch"/>
    <w:pPr>
      <w:widowControl w:val="0"/>
      <w:ind/>
    </w:pPr>
    <w:rPr>
      <w:rFonts w:ascii="Tahoma" w:hAnsi="Tahoma"/>
      <w:sz w:val="18"/>
    </w:rPr>
  </w:style>
  <w:style w:styleId="Style_28_ch" w:type="character">
    <w:name w:val="ConsPlusDocList"/>
    <w:link w:val="Style_28"/>
    <w:rPr>
      <w:rFonts w:ascii="Tahoma" w:hAnsi="Tahoma"/>
      <w:sz w:val="18"/>
    </w:rPr>
  </w:style>
  <w:style w:styleId="Style_29" w:type="paragraph">
    <w:name w:val="toc 5"/>
    <w:next w:val="Style_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ConsPlusJurTerm"/>
    <w:link w:val="Style_30_ch"/>
    <w:pPr>
      <w:widowControl w:val="0"/>
      <w:ind/>
    </w:pPr>
    <w:rPr>
      <w:rFonts w:ascii="Tahoma" w:hAnsi="Tahoma"/>
      <w:sz w:val="26"/>
    </w:rPr>
  </w:style>
  <w:style w:styleId="Style_30_ch" w:type="character">
    <w:name w:val="ConsPlusJurTerm"/>
    <w:link w:val="Style_30"/>
    <w:rPr>
      <w:rFonts w:ascii="Tahoma" w:hAnsi="Tahoma"/>
      <w:sz w:val="26"/>
    </w:rPr>
  </w:style>
  <w:style w:styleId="Style_31" w:type="paragraph">
    <w:name w:val="ConsPlusNonformat"/>
    <w:link w:val="Style_31_ch"/>
    <w:pPr>
      <w:widowControl w:val="0"/>
      <w:ind/>
    </w:pPr>
    <w:rPr>
      <w:rFonts w:ascii="Courier New" w:hAnsi="Courier New"/>
      <w:sz w:val="20"/>
    </w:rPr>
  </w:style>
  <w:style w:styleId="Style_31_ch" w:type="character">
    <w:name w:val="ConsPlusNonformat"/>
    <w:link w:val="Style_31"/>
    <w:rPr>
      <w:rFonts w:ascii="Courier New" w:hAnsi="Courier New"/>
      <w:sz w:val="20"/>
    </w:rPr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ConsPlusTitle"/>
    <w:link w:val="Style_33_ch"/>
    <w:pPr>
      <w:widowControl w:val="0"/>
      <w:ind/>
    </w:pPr>
    <w:rPr>
      <w:rFonts w:ascii="Arial" w:hAnsi="Arial"/>
      <w:b w:val="1"/>
      <w:sz w:val="24"/>
    </w:rPr>
  </w:style>
  <w:style w:styleId="Style_33_ch" w:type="character">
    <w:name w:val="ConsPlusTitle"/>
    <w:link w:val="Style_33"/>
    <w:rPr>
      <w:rFonts w:ascii="Arial" w:hAnsi="Arial"/>
      <w:b w:val="1"/>
      <w:sz w:val="24"/>
    </w:rPr>
  </w:style>
  <w:style w:styleId="Style_34" w:type="paragraph">
    <w:name w:val="Title"/>
    <w:next w:val="Style_4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4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ConsPlusDocList"/>
    <w:link w:val="Style_36_ch"/>
    <w:pPr>
      <w:widowControl w:val="0"/>
      <w:ind/>
    </w:pPr>
    <w:rPr>
      <w:rFonts w:ascii="Tahoma" w:hAnsi="Tahoma"/>
      <w:sz w:val="18"/>
    </w:rPr>
  </w:style>
  <w:style w:styleId="Style_36_ch" w:type="character">
    <w:name w:val="ConsPlusDocList"/>
    <w:link w:val="Style_36"/>
    <w:rPr>
      <w:rFonts w:ascii="Tahoma" w:hAnsi="Tahoma"/>
      <w:sz w:val="18"/>
    </w:rPr>
  </w:style>
  <w:style w:styleId="Style_37" w:type="paragraph">
    <w:name w:val="heading 2"/>
    <w:next w:val="Style_4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paragraph">
    <w:name w:val="ConsPlusTextList"/>
    <w:link w:val="Style_38_ch"/>
    <w:pPr>
      <w:widowControl w:val="0"/>
      <w:ind/>
    </w:pPr>
    <w:rPr>
      <w:rFonts w:ascii="Times New Roman" w:hAnsi="Times New Roman"/>
      <w:sz w:val="24"/>
    </w:rPr>
  </w:style>
  <w:style w:styleId="Style_38_ch" w:type="character">
    <w:name w:val="ConsPlusTextList"/>
    <w:link w:val="Style_38"/>
    <w:rPr>
      <w:rFonts w:ascii="Times New Roman" w:hAnsi="Times New Roman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2025-06-18T08:54:10Z</dcterms:modified>
</cp:coreProperties>
</file>