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center"/>
        <w:outlineLvl w:val="0"/>
      </w:pPr>
      <w:r>
        <w:rPr>
          <w:b w:val="1"/>
          <w:sz w:val="34"/>
        </w:rPr>
        <w:t>Ответственность за нарушение требований пожарной безопасности при сжигании мусора на участке</w:t>
      </w:r>
    </w:p>
    <w:p w14:paraId="14000000">
      <w:pPr>
        <w:pStyle w:val="Style_1"/>
        <w:spacing w:before="240"/>
        <w:ind w:firstLine="709"/>
        <w:jc w:val="both"/>
      </w:pPr>
      <w:r>
        <w:rPr>
          <w:sz w:val="24"/>
        </w:rPr>
        <w:t>Собственники имущества, а также иные граждане за нарушение правил сжигания мусора на участке могут быть привлечены к административной или уголовной ответственности в соответствии с действующим законодательством (</w:t>
      </w:r>
      <w:r>
        <w:rPr>
          <w:sz w:val="24"/>
        </w:rPr>
        <w:t>ч. 3 ст. 38</w:t>
      </w:r>
      <w:r>
        <w:rPr>
          <w:sz w:val="24"/>
        </w:rPr>
        <w:t xml:space="preserve"> Закона от 21.12.1994 N 69-ФЗ).</w:t>
      </w:r>
    </w:p>
    <w:p w14:paraId="15000000">
      <w:pPr>
        <w:pStyle w:val="Style_1"/>
        <w:spacing w:before="240"/>
        <w:ind w:firstLine="709"/>
        <w:jc w:val="both"/>
      </w:pPr>
      <w:r>
        <w:rPr>
          <w:sz w:val="24"/>
        </w:rPr>
        <w:t>Нарушение требований пожарной безопасности при сжигании мусора на земельном участке, если это не повлекло возникновение пожара и уничтожение или повреждение чужого имущества либо причинение вреда здоровью человека или его смерть, влечет предупреждение или наложение административного штрафа в размере от 5 000 до 15 000 руб. (</w:t>
      </w:r>
      <w:r>
        <w:rPr>
          <w:sz w:val="24"/>
        </w:rPr>
        <w:t>ч. 1 ст. 20.4</w:t>
      </w:r>
      <w:r>
        <w:rPr>
          <w:sz w:val="24"/>
        </w:rPr>
        <w:t xml:space="preserve"> КоАП РФ).</w:t>
      </w:r>
    </w:p>
    <w:p w14:paraId="16000000">
      <w:pPr>
        <w:pStyle w:val="Style_1"/>
        <w:spacing w:before="240"/>
        <w:ind w:firstLine="709"/>
        <w:jc w:val="both"/>
      </w:pPr>
      <w:r>
        <w:rPr>
          <w:sz w:val="24"/>
        </w:rPr>
        <w:t>Такие же действия, совершенные в условиях особого противопожарного режима, влекут наложение административного штрафа в размере от 10 000 до 20 000 руб. (</w:t>
      </w:r>
      <w:r>
        <w:rPr>
          <w:sz w:val="24"/>
        </w:rPr>
        <w:t>ч. 2 ст. 20.4</w:t>
      </w:r>
      <w:r>
        <w:rPr>
          <w:sz w:val="24"/>
        </w:rPr>
        <w:t xml:space="preserve"> КоАП РФ).</w:t>
      </w:r>
    </w:p>
    <w:p w14:paraId="17000000">
      <w:pPr>
        <w:pStyle w:val="Style_1"/>
        <w:spacing w:before="240"/>
        <w:ind w:firstLine="709"/>
        <w:jc w:val="both"/>
      </w:pPr>
      <w:r>
        <w:rPr>
          <w:sz w:val="24"/>
        </w:rPr>
        <w:t>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вреда здоровью человека, на виновного налагается административный штраф в размере от 40 000 руб. до 50 000 руб. (</w:t>
      </w:r>
      <w:r>
        <w:rPr>
          <w:sz w:val="24"/>
        </w:rPr>
        <w:t>ч. 6 ст. 20.4</w:t>
      </w:r>
      <w:r>
        <w:rPr>
          <w:sz w:val="24"/>
        </w:rPr>
        <w:t xml:space="preserve"> КоАП РФ).</w:t>
      </w:r>
    </w:p>
    <w:p w14:paraId="18000000">
      <w:pPr>
        <w:pStyle w:val="Style_1"/>
        <w:spacing w:before="240"/>
        <w:ind w:firstLine="709"/>
        <w:jc w:val="both"/>
      </w:pPr>
      <w:r>
        <w:rPr>
          <w:sz w:val="24"/>
        </w:rPr>
        <w:t>Уголовная ответственность за нарушение гражданином правил сжигания мусора возможна, например, в случае, если (</w:t>
      </w:r>
      <w:r>
        <w:rPr>
          <w:sz w:val="24"/>
        </w:rPr>
        <w:t>ст. 219</w:t>
      </w:r>
      <w:r>
        <w:rPr>
          <w:sz w:val="24"/>
        </w:rPr>
        <w:t xml:space="preserve">, </w:t>
      </w:r>
      <w:r>
        <w:rPr>
          <w:sz w:val="24"/>
        </w:rPr>
        <w:t>ч. 1 ст. 261</w:t>
      </w:r>
      <w:r>
        <w:rPr>
          <w:sz w:val="24"/>
        </w:rPr>
        <w:t xml:space="preserve">, </w:t>
      </w:r>
      <w:r>
        <w:rPr>
          <w:sz w:val="24"/>
        </w:rPr>
        <w:t>Примечание к ст. 261</w:t>
      </w:r>
      <w:r>
        <w:rPr>
          <w:sz w:val="24"/>
        </w:rPr>
        <w:t xml:space="preserve"> УК РФ):</w:t>
      </w:r>
    </w:p>
    <w:p w14:paraId="19000000">
      <w:pPr>
        <w:pStyle w:val="Style_1"/>
        <w:spacing w:before="240"/>
        <w:ind w:firstLine="169" w:left="540"/>
        <w:jc w:val="both"/>
      </w:pPr>
      <w:r>
        <w:rPr>
          <w:sz w:val="24"/>
        </w:rPr>
        <w:t>- нарушение требований пожарной безопасности повлекло по неосторожности тяжкий вред здоровью человека или смерть;</w:t>
      </w:r>
    </w:p>
    <w:p w14:paraId="1A000000">
      <w:pPr>
        <w:pStyle w:val="Style_1"/>
        <w:spacing w:before="240"/>
        <w:ind w:firstLine="169" w:left="540"/>
        <w:jc w:val="both"/>
      </w:pPr>
      <w:r>
        <w:rPr>
          <w:sz w:val="24"/>
        </w:rPr>
        <w:t>- в результате неосторожного обращения с огнем уничтожены или повреждены лесные насаждения и иные насаждения, что повлекло значительный ущерб (более 10 000 руб.).</w:t>
      </w:r>
    </w:p>
    <w:p w14:paraId="1B000000">
      <w:pPr>
        <w:pStyle w:val="Style_1"/>
        <w:ind/>
        <w:jc w:val="both"/>
      </w:pPr>
    </w:p>
    <w:p w14:paraId="1C000000">
      <w:pPr>
        <w:pStyle w:val="Style_1"/>
        <w:ind/>
        <w:jc w:val="both"/>
      </w:pPr>
    </w:p>
    <w:p w14:paraId="1D00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Ситуация: Каковы правила пожарной безопасности при сжигании мусора на участке?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("Электронный журнал "Азбука права", 2025...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18.06.2025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Ситуация: Каковы правила пожарной безопасности при сжигании мусора на участке?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("Электронный журнал "Азбука права", 2025...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18.06.2025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  <w:sz w:val="24"/>
    </w:rPr>
  </w:style>
  <w:style w:styleId="Style_8_ch" w:type="character">
    <w:name w:val="ConsPlusTitle"/>
    <w:link w:val="Style_8"/>
    <w:rPr>
      <w:rFonts w:ascii="Arial" w:hAnsi="Arial"/>
      <w:b w:val="1"/>
      <w:sz w:val="24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Cell"/>
    <w:link w:val="Style_11"/>
    <w:rPr>
      <w:rFonts w:ascii="Courier New" w:hAnsi="Courier New"/>
      <w:sz w:val="20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Nonformat"/>
    <w:link w:val="Style_12"/>
    <w:rPr>
      <w:rFonts w:ascii="Courier New" w:hAnsi="Courier New"/>
      <w:sz w:val="20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sz w:val="24"/>
    </w:rPr>
  </w:style>
  <w:style w:styleId="Style_13_ch" w:type="character">
    <w:name w:val="ConsPlusTextList"/>
    <w:link w:val="Style_13"/>
    <w:rPr>
      <w:rFonts w:ascii="Times New Roman" w:hAnsi="Times New Roman"/>
      <w:sz w:val="24"/>
    </w:rPr>
  </w:style>
  <w:style w:styleId="Style_14" w:type="paragraph">
    <w:name w:val="ConsPlusJurTerm"/>
    <w:link w:val="Style_14_ch"/>
    <w:pPr>
      <w:widowControl w:val="0"/>
      <w:ind/>
    </w:pPr>
    <w:rPr>
      <w:rFonts w:ascii="Tahoma" w:hAnsi="Tahoma"/>
      <w:sz w:val="26"/>
    </w:rPr>
  </w:style>
  <w:style w:styleId="Style_14_ch" w:type="character">
    <w:name w:val="ConsPlusJurTerm"/>
    <w:link w:val="Style_14"/>
    <w:rPr>
      <w:rFonts w:ascii="Tahoma" w:hAnsi="Tahoma"/>
      <w:sz w:val="26"/>
    </w:rPr>
  </w:style>
  <w:style w:styleId="Style_15" w:type="paragraph">
    <w:name w:val="ConsPlusCell"/>
    <w:link w:val="Style_15_ch"/>
    <w:pPr>
      <w:widowControl w:val="0"/>
      <w:ind/>
    </w:pPr>
    <w:rPr>
      <w:rFonts w:ascii="Courier New" w:hAnsi="Courier New"/>
      <w:sz w:val="20"/>
    </w:rPr>
  </w:style>
  <w:style w:styleId="Style_15_ch" w:type="character">
    <w:name w:val="ConsPlusCell"/>
    <w:link w:val="Style_15"/>
    <w:rPr>
      <w:rFonts w:ascii="Courier New" w:hAnsi="Courier New"/>
      <w:sz w:val="20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DocList"/>
    <w:link w:val="Style_17_ch"/>
    <w:pPr>
      <w:widowControl w:val="0"/>
      <w:ind/>
    </w:pPr>
    <w:rPr>
      <w:rFonts w:ascii="Tahoma" w:hAnsi="Tahoma"/>
      <w:sz w:val="18"/>
    </w:rPr>
  </w:style>
  <w:style w:styleId="Style_17_ch" w:type="character">
    <w:name w:val="ConsPlusDocList"/>
    <w:link w:val="Style_17"/>
    <w:rPr>
      <w:rFonts w:ascii="Tahoma" w:hAnsi="Tahoma"/>
      <w:sz w:val="18"/>
    </w:rPr>
  </w:style>
  <w:style w:styleId="Style_18" w:type="paragraph">
    <w:name w:val="ConsPlusTextList"/>
    <w:link w:val="Style_18_ch"/>
    <w:pPr>
      <w:widowControl w:val="0"/>
      <w:ind/>
    </w:pPr>
    <w:rPr>
      <w:rFonts w:ascii="Times New Roman" w:hAnsi="Times New Roman"/>
      <w:sz w:val="24"/>
    </w:rPr>
  </w:style>
  <w:style w:styleId="Style_18_ch" w:type="character">
    <w:name w:val="ConsPlusTextList"/>
    <w:link w:val="Style_18"/>
    <w:rPr>
      <w:rFonts w:ascii="Times New Roman" w:hAnsi="Times New Roman"/>
      <w:sz w:val="24"/>
    </w:rPr>
  </w:style>
  <w:style w:styleId="Style_19" w:type="paragraph">
    <w:name w:val="ConsPlusTitlePage"/>
    <w:link w:val="Style_19_ch"/>
    <w:pPr>
      <w:widowControl w:val="0"/>
      <w:ind/>
    </w:pPr>
    <w:rPr>
      <w:rFonts w:ascii="Tahoma" w:hAnsi="Tahoma"/>
      <w:sz w:val="20"/>
    </w:rPr>
  </w:style>
  <w:style w:styleId="Style_19_ch" w:type="character">
    <w:name w:val="ConsPlusTitlePage"/>
    <w:link w:val="Style_19"/>
    <w:rPr>
      <w:rFonts w:ascii="Tahoma" w:hAnsi="Tahoma"/>
      <w:sz w:val="20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sz w:val="24"/>
    </w:rPr>
  </w:style>
  <w:style w:styleId="Style_20_ch" w:type="character">
    <w:name w:val="ConsPlusTextList"/>
    <w:link w:val="Style_20"/>
    <w:rPr>
      <w:rFonts w:ascii="Times New Roman" w:hAnsi="Times New Roman"/>
      <w:sz w:val="24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sz w:val="24"/>
    </w:rPr>
  </w:style>
  <w:style w:styleId="Style_28_ch" w:type="character">
    <w:name w:val="ConsPlusTextList"/>
    <w:link w:val="Style_28"/>
    <w:rPr>
      <w:rFonts w:ascii="Times New Roman" w:hAnsi="Times New Roman"/>
      <w:sz w:val="24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JurTerm"/>
    <w:link w:val="Style_30_ch"/>
    <w:pPr>
      <w:widowControl w:val="0"/>
      <w:ind/>
    </w:pPr>
    <w:rPr>
      <w:rFonts w:ascii="Tahoma" w:hAnsi="Tahoma"/>
      <w:sz w:val="26"/>
    </w:rPr>
  </w:style>
  <w:style w:styleId="Style_30_ch" w:type="character">
    <w:name w:val="ConsPlusJurTerm"/>
    <w:link w:val="Style_30"/>
    <w:rPr>
      <w:rFonts w:ascii="Tahoma" w:hAnsi="Tahoma"/>
      <w:sz w:val="26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ConsPlusTitlePage"/>
    <w:link w:val="Style_33_ch"/>
    <w:pPr>
      <w:widowControl w:val="0"/>
      <w:ind/>
    </w:pPr>
    <w:rPr>
      <w:rFonts w:ascii="Tahoma" w:hAnsi="Tahoma"/>
      <w:sz w:val="20"/>
    </w:rPr>
  </w:style>
  <w:style w:styleId="Style_33_ch" w:type="character">
    <w:name w:val="ConsPlusTitlePage"/>
    <w:link w:val="Style_33"/>
    <w:rPr>
      <w:rFonts w:ascii="Tahoma" w:hAnsi="Tahoma"/>
      <w:sz w:val="20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ConsPlusDocList"/>
    <w:link w:val="Style_38_ch"/>
    <w:pPr>
      <w:widowControl w:val="0"/>
      <w:ind/>
    </w:pPr>
    <w:rPr>
      <w:rFonts w:ascii="Tahoma" w:hAnsi="Tahoma"/>
      <w:sz w:val="18"/>
    </w:rPr>
  </w:style>
  <w:style w:styleId="Style_38_ch" w:type="character">
    <w:name w:val="ConsPlusDocList"/>
    <w:link w:val="Style_38"/>
    <w:rPr>
      <w:rFonts w:ascii="Tahoma" w:hAnsi="Tahoma"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2025-06-18T08:42:15Z</dcterms:modified>
</cp:coreProperties>
</file>