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1"/>
        <w:ind w:firstLine="540" w:left="0"/>
        <w:jc w:val="center"/>
        <w:rPr>
          <w:b w:val="1"/>
        </w:rPr>
      </w:pPr>
      <w:r>
        <w:rPr>
          <w:b w:val="1"/>
        </w:rPr>
        <w:t xml:space="preserve">Противодействие незаконной миграции </w:t>
      </w:r>
    </w:p>
    <w:p w14:paraId="0E000000">
      <w:pPr>
        <w:pStyle w:val="Style_1"/>
        <w:spacing w:before="0" w:line="240" w:lineRule="auto"/>
        <w:ind w:firstLine="540" w:left="0"/>
        <w:jc w:val="both"/>
      </w:pPr>
    </w:p>
    <w:p w14:paraId="0F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>Согласно статистическим данным, на территории Российской Федерации в настоящее время незаконно находится более 739 тыс. мигрантов. В 2024 г., по сравнению с аналогичным периодом предыдущего года, в три раза увеличилось число преступлений, совершенных нелегальными мигрантами.</w:t>
      </w:r>
    </w:p>
    <w:p w14:paraId="10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>Органами государственной власти в настоящее время ведется серьезная работа, направленная на совершенствование правового регулирования в целях борьбы с незаконной миграцией.</w:t>
      </w:r>
    </w:p>
    <w:p w14:paraId="11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Так, Федеральным </w:t>
      </w:r>
      <w:r>
        <w:rPr>
          <w:sz w:val="24"/>
        </w:rPr>
        <w:t>законом</w:t>
      </w:r>
      <w:r>
        <w:rPr>
          <w:sz w:val="24"/>
        </w:rPr>
        <w:t xml:space="preserve"> от 9 ноября 2024 г. № 385-ФЗ «О внесении изменения в статью 15.3 Федерального закона «Об информации, информационных технологиях и о защите информации» предусмотрена возможность внесудебной блокировки сайтов, содержащих информацию о предложении незаконных услуг в области миграции, а также о способах организации нелегальной миграции.</w:t>
      </w:r>
    </w:p>
    <w:p w14:paraId="12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>Одно из направлений данной работы связано с усилением уголовной ответственности для лиц, нарушающих требования миграционного законодательства либо способствующих его нарушению. Уголовная ответственность усиливается как для самих мигрантов, так и для лиц - организаторов незаконной миграции, а также лиц, способствующих незаконной миграции.</w:t>
      </w:r>
    </w:p>
    <w:p w14:paraId="13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Федеральным </w:t>
      </w:r>
      <w:r>
        <w:rPr>
          <w:sz w:val="24"/>
        </w:rPr>
        <w:t>законом</w:t>
      </w:r>
      <w:r>
        <w:rPr>
          <w:sz w:val="24"/>
        </w:rPr>
        <w:t xml:space="preserve"> от 9 ноября 2024 г. № 384-ФЗ «О внесении изменения в статью 63 Уголовного кодекса Российской Федерации» ст. 63 УК РФ была дополнена новым </w:t>
      </w:r>
      <w:r>
        <w:rPr>
          <w:sz w:val="24"/>
        </w:rPr>
        <w:t>пунктом «у»</w:t>
      </w:r>
      <w:r>
        <w:rPr>
          <w:sz w:val="24"/>
        </w:rPr>
        <w:t>, согласно которому отягчающим уголовное наказание обстоятельством будет считаться совершение преступления лицом, незаконно находящимся на территории Российской Федерации. Это, в свою очередь, предоставит судам дополнительное основание при вынесении приговоров назначать более строгое наказание в пределах установленной санкции.</w:t>
      </w:r>
    </w:p>
    <w:p w14:paraId="14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Федеральным </w:t>
      </w:r>
      <w:r>
        <w:rPr>
          <w:sz w:val="24"/>
        </w:rPr>
        <w:t>законом</w:t>
      </w:r>
      <w:r>
        <w:rPr>
          <w:sz w:val="24"/>
        </w:rPr>
        <w:t xml:space="preserve"> от 9 ноября 2024 г. № 383-ФЗ «О внесении изменений в Уголовный кодекс Российской Федерации и статью 151 Уголовно-процессуального кодекса Российской Федерации» была существенным образом пересмотрена </w:t>
      </w:r>
      <w:r>
        <w:rPr>
          <w:sz w:val="24"/>
        </w:rPr>
        <w:t>ст. 322.1</w:t>
      </w:r>
      <w:r>
        <w:rPr>
          <w:sz w:val="24"/>
        </w:rPr>
        <w:t xml:space="preserve"> УК РФ «Организация незаконной миграции». В </w:t>
      </w:r>
      <w:r>
        <w:rPr>
          <w:sz w:val="24"/>
        </w:rPr>
        <w:t>ч. 1 ст. 322.1</w:t>
      </w:r>
      <w:r>
        <w:rPr>
          <w:sz w:val="24"/>
        </w:rPr>
        <w:t xml:space="preserve"> УК РФ была установлена нижняя граница наказания - в виде лишения свободы от 2 до 5 лет и предусмотрена возможность назначения штрафа до 500 тыс. рублей или в размере заработной платы или иного дохода осужденного за период до трех лет в качестве дополнительного наказания. Отсутствие в санкциях предыдущей редакции </w:t>
      </w:r>
      <w:r>
        <w:rPr>
          <w:sz w:val="24"/>
        </w:rPr>
        <w:t>ст. 322.1</w:t>
      </w:r>
      <w:r>
        <w:rPr>
          <w:sz w:val="24"/>
        </w:rPr>
        <w:t xml:space="preserve"> УК РФ «Организация незаконной миграции» низших пределов лишения свободы приводило к тому, что за совершение данного преступления назначалось слишком мягкое уголовное наказание.</w:t>
      </w:r>
    </w:p>
    <w:p w14:paraId="15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Это, в свою очередь, являлось одним из факторов роста количества преступлений, связанных с организацией незаконной миграции. Статистика свидетельствует о ежегодном приросте количества преступлений в рассматриваемой сфере на протяжении нескольких лет. Так, правоохранительными органами в первом полугодии 2024 г. было выявлено на 132,5% больше фактов организации незаконной миграции, в сравнении с аналогичным периодом предыдущего года. В 2023 г. за организацию незаконной миграции было осуждено 879 лиц, что почти на 30% больше, по сравнению с 2022 г. </w:t>
      </w:r>
    </w:p>
    <w:p w14:paraId="16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Рассматриваемым </w:t>
      </w:r>
      <w:r>
        <w:rPr>
          <w:sz w:val="24"/>
        </w:rPr>
        <w:t>Законом</w:t>
      </w:r>
      <w:r>
        <w:rPr>
          <w:sz w:val="24"/>
        </w:rPr>
        <w:t xml:space="preserve"> ч. 2 ст. 322.1 УК РФ была дополнена новыми квалифицированными признаками: «...с целью скрыть другое преступление или облегчить его совершение» </w:t>
      </w:r>
      <w:r>
        <w:rPr>
          <w:sz w:val="24"/>
        </w:rPr>
        <w:t>(п. «в»)</w:t>
      </w:r>
      <w:r>
        <w:rPr>
          <w:sz w:val="24"/>
        </w:rPr>
        <w:t xml:space="preserve">; «с использованием поддельных документов, а равно с изъятием, сокрытием либо уничтожением документов, удостоверяющих личность» </w:t>
      </w:r>
      <w:r>
        <w:rPr>
          <w:sz w:val="24"/>
        </w:rPr>
        <w:t>(п. «г»)</w:t>
      </w:r>
      <w:r>
        <w:rPr>
          <w:sz w:val="24"/>
        </w:rPr>
        <w:t xml:space="preserve">; с использованием информационно-телекоммуникационных сетей, в том числе сети Интернет </w:t>
      </w:r>
      <w:r>
        <w:rPr>
          <w:sz w:val="24"/>
        </w:rPr>
        <w:t>(п. «д»)</w:t>
      </w:r>
      <w:r>
        <w:rPr>
          <w:sz w:val="24"/>
        </w:rPr>
        <w:t>. Также был скорректирован размер уголовной ответственности, в частности за совершение данного преступления предусмотрено наказание в виде лишения свободы на срок от пяти до десяти лет (было до 7 лет, нижняя граница наказания была не предусмотрена) со штрафом в размере до одного миллиона рублей (было до 500 тыс. рублей) или в размере заработной платы или иного дохода осужденного за период до пяти лет (было до 3 лет) либо без такового и с лишением права занимать определенные должности или заниматься определенной деятельностью на срок до семи лет или без такового (ранее предусмотрено не было, установлено в связи с тем, что данные преступления зачастую совершаются лицами, использующими служебное положение).</w:t>
      </w:r>
    </w:p>
    <w:p w14:paraId="17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Обращает на себя внимание, что деяние, предусмотренное </w:t>
      </w:r>
      <w:r>
        <w:rPr>
          <w:sz w:val="24"/>
        </w:rPr>
        <w:t>ч. 1</w:t>
      </w:r>
      <w:r>
        <w:rPr>
          <w:sz w:val="24"/>
        </w:rPr>
        <w:t xml:space="preserve"> или </w:t>
      </w:r>
      <w:r>
        <w:rPr>
          <w:sz w:val="24"/>
        </w:rPr>
        <w:t>ч. 2 ст. 322.1</w:t>
      </w:r>
      <w:r>
        <w:rPr>
          <w:sz w:val="24"/>
        </w:rPr>
        <w:t xml:space="preserve"> УК РФ, совершенное организованной группой или в целях совершения тяжких или особо тяжких преступлений на территории Российской Федерации, отнесено законодателем к категории особо тяжких преступлений, за которое может быть назначено наказание в виде лишения свободы на срок от 8 до 15 лет с назначением дополнительного наказания либо без такового.</w:t>
      </w:r>
    </w:p>
    <w:p w14:paraId="18000000">
      <w:pPr>
        <w:pStyle w:val="Style_1"/>
        <w:spacing w:before="0" w:line="240" w:lineRule="auto"/>
        <w:ind w:firstLine="540" w:left="0"/>
        <w:jc w:val="both"/>
      </w:pPr>
      <w:r>
        <w:rPr>
          <w:sz w:val="24"/>
        </w:rPr>
        <w:t xml:space="preserve">Данным </w:t>
      </w:r>
      <w:r>
        <w:rPr>
          <w:sz w:val="24"/>
        </w:rPr>
        <w:t>Законом</w:t>
      </w:r>
      <w:r>
        <w:rPr>
          <w:sz w:val="24"/>
        </w:rPr>
        <w:t xml:space="preserve"> также установлена повышенная уголовная ответственность за преступления, связанные с фиктивной регистрацией и постановкой на учет иностранных граждан и лиц без гражданства (</w:t>
      </w:r>
      <w:r>
        <w:rPr>
          <w:sz w:val="24"/>
        </w:rPr>
        <w:t>322.2</w:t>
      </w:r>
      <w:r>
        <w:rPr>
          <w:sz w:val="24"/>
        </w:rPr>
        <w:t xml:space="preserve">, </w:t>
      </w:r>
      <w:r>
        <w:rPr>
          <w:sz w:val="24"/>
        </w:rPr>
        <w:t>322.3</w:t>
      </w:r>
      <w:r>
        <w:rPr>
          <w:sz w:val="24"/>
        </w:rPr>
        <w:t xml:space="preserve"> УК РФ). В настоящее время уголовная ответственность за совершение данного преступления - от 2 до 5 лет лишения свободы. Можно только поддержать решение законодателя о переводе данного преступления из категории преступлений небольшой тяжести в категорию средней тяжести.</w:t>
      </w:r>
    </w:p>
    <w:p w14:paraId="19000000">
      <w:pPr>
        <w:spacing w:after="0" w:before="0" w:line="240" w:lineRule="auto"/>
        <w:ind w:firstLine="540" w:left="0" w:right="0"/>
        <w:jc w:val="both"/>
        <w:rPr>
          <w:b w:val="0"/>
        </w:rPr>
      </w:pPr>
      <w:r>
        <w:rPr>
          <w:b w:val="0"/>
        </w:rPr>
        <w:t>Серьезность и необходимость решения проблемы незаконной миграции связана со многими объективными факторами, из числа которых необходимо отметить сложность определения количественных параметров явления; неоднозначность и разноплановость вызываемых ею последствий; непроработанность проблемы незаконной миграции в условиях глобальной реструктуризации мировой экономики; чрезвычайную сложность борьбы с незаконной миграцией и в особенности с ее криминальной составляющей и организованной формой.</w:t>
      </w:r>
    </w:p>
    <w:p w14:paraId="1A000000">
      <w:pPr>
        <w:spacing w:after="0" w:before="0" w:line="240" w:lineRule="auto"/>
        <w:ind w:firstLine="540" w:left="0" w:right="0"/>
        <w:jc w:val="both"/>
        <w:rPr>
          <w:b w:val="0"/>
        </w:rPr>
      </w:pPr>
    </w:p>
    <w:p w14:paraId="1B000000">
      <w:pPr>
        <w:spacing w:after="0" w:before="0" w:line="240" w:lineRule="auto"/>
        <w:ind w:firstLine="540" w:left="0" w:right="0"/>
        <w:jc w:val="center"/>
        <w:rPr>
          <w:b w:val="0"/>
        </w:rPr>
      </w:pPr>
      <w:r>
        <w:rPr>
          <w:b w:val="0"/>
        </w:rPr>
        <w:t>Если Вам стали известны о фактах нарушения миграционного законодательства:</w:t>
      </w:r>
    </w:p>
    <w:p w14:paraId="1C000000"/>
    <w:p w14:paraId="1D000000">
      <w:pPr>
        <w:ind/>
        <w:jc w:val="center"/>
      </w:pPr>
      <w:r>
        <w:t>Калачеевский МСО СУ СК РФ по Воронежской области</w:t>
      </w:r>
    </w:p>
    <w:p w14:paraId="1E000000">
      <w:pPr>
        <w:ind/>
        <w:jc w:val="center"/>
      </w:pPr>
      <w:r>
        <w:t>Г. Калач, ул. Октябрьская, д. 8</w:t>
      </w:r>
    </w:p>
    <w:p w14:paraId="1F000000">
      <w:pPr>
        <w:ind/>
        <w:jc w:val="center"/>
      </w:pPr>
      <w:r>
        <w:t>8 (47363)2-10-56</w:t>
      </w:r>
    </w:p>
    <w:p w14:paraId="20000000">
      <w:pPr>
        <w:ind/>
        <w:jc w:val="center"/>
      </w:pPr>
    </w:p>
    <w:p w14:paraId="21000000">
      <w:pPr>
        <w:ind/>
        <w:jc w:val="center"/>
      </w:pPr>
      <w:r>
        <w:t>ОМВД России по Калачеевскому району</w:t>
      </w:r>
    </w:p>
    <w:p w14:paraId="22000000">
      <w:pPr>
        <w:ind/>
        <w:jc w:val="center"/>
      </w:pPr>
      <w:r>
        <w:t xml:space="preserve">г. Калач, ул. Ленинская, д.62а </w:t>
      </w:r>
    </w:p>
    <w:p w14:paraId="23000000">
      <w:pPr>
        <w:ind/>
        <w:jc w:val="center"/>
      </w:pPr>
      <w:r>
        <w:t>8 (47363)2-29-94</w:t>
      </w:r>
    </w:p>
    <w:p w14:paraId="24000000">
      <w:pPr>
        <w:ind/>
        <w:jc w:val="center"/>
      </w:pPr>
    </w:p>
    <w:p w14:paraId="25000000">
      <w:pPr>
        <w:ind/>
        <w:jc w:val="center"/>
      </w:pPr>
      <w:r>
        <w:t>Прокуратура Калачеевского района Воронежской области</w:t>
      </w:r>
    </w:p>
    <w:p w14:paraId="26000000">
      <w:pPr>
        <w:ind/>
        <w:jc w:val="center"/>
      </w:pPr>
      <w:r>
        <w:t xml:space="preserve"> г. Калач, ул. Советская, д. 45</w:t>
      </w:r>
    </w:p>
    <w:p w14:paraId="27000000">
      <w:pPr>
        <w:pStyle w:val="Style_1"/>
        <w:spacing w:after="100" w:before="100"/>
        <w:ind/>
        <w:jc w:val="center"/>
        <w:rPr>
          <w:sz w:val="2"/>
        </w:rPr>
      </w:pPr>
      <w:r>
        <w:t>8 (47363)2-10-72</w:t>
      </w:r>
    </w:p>
    <w:sectPr>
      <w:headerReference r:id="rId2" w:type="default"/>
      <w:footerReference r:id="rId3" w:type="default"/>
      <w:footerReference r:id="rId1" w:type="first"/>
      <w:pgSz w:h="16838" w:orient="portrait" w:w="11906"/>
      <w:pgMar w:bottom="800" w:footer="0" w:gutter="0" w:header="0" w:left="1133" w:right="566" w:top="87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3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4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>
    <w:r>
      <w:rPr>
        <w:sz w:val="2"/>
      </w:rPr>
      <w:t>1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9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C000000">
    <w:r>
      <w:rPr>
        <w:sz w:val="2"/>
      </w:rPr>
      <w:t>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rPr>
        <w:sz w:val="2"/>
      </w:rPr>
    </w:pPr>
  </w:p>
  <w:p w14:paraId="07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2" w:type="paragraph">
    <w:name w:val="toc 2"/>
    <w:next w:val="Style_3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  <w:sz w:val="24"/>
    </w:rPr>
  </w:style>
  <w:style w:styleId="Style_8_ch" w:type="character">
    <w:name w:val="ConsPlusTitle"/>
    <w:link w:val="Style_8"/>
    <w:rPr>
      <w:rFonts w:ascii="Arial" w:hAnsi="Arial"/>
      <w:b w:val="1"/>
      <w:sz w:val="24"/>
    </w:rPr>
  </w:style>
  <w:style w:styleId="Style_3" w:type="paragraph">
    <w:name w:val="Normal"/>
    <w:link w:val="Style_3_ch"/>
    <w:uiPriority w:val="0"/>
    <w:qFormat/>
  </w:style>
  <w:style w:styleId="Style_3_ch" w:type="character">
    <w:name w:val="Normal"/>
    <w:link w:val="Style_3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  <w:sz w:val="20"/>
    </w:rPr>
  </w:style>
  <w:style w:styleId="Style_11_ch" w:type="character">
    <w:name w:val="ConsPlusTitlePage"/>
    <w:link w:val="Style_11"/>
    <w:rPr>
      <w:rFonts w:ascii="Tahoma" w:hAnsi="Tahoma"/>
      <w:sz w:val="20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Cell"/>
    <w:link w:val="Style_12"/>
    <w:rPr>
      <w:rFonts w:ascii="Courier New" w:hAnsi="Courier New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ConsPlusTextList"/>
    <w:link w:val="Style_19_ch"/>
    <w:pPr>
      <w:widowControl w:val="0"/>
      <w:ind/>
    </w:pPr>
    <w:rPr>
      <w:rFonts w:ascii="Times New Roman" w:hAnsi="Times New Roman"/>
      <w:sz w:val="24"/>
    </w:rPr>
  </w:style>
  <w:style w:styleId="Style_19_ch" w:type="character">
    <w:name w:val="ConsPlusTextList"/>
    <w:link w:val="Style_19"/>
    <w:rPr>
      <w:rFonts w:ascii="Times New Roman" w:hAnsi="Times New Roman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ConsPlusJurTerm"/>
    <w:link w:val="Style_21_ch"/>
    <w:pPr>
      <w:widowControl w:val="0"/>
      <w:ind/>
    </w:pPr>
    <w:rPr>
      <w:rFonts w:ascii="Tahoma" w:hAnsi="Tahoma"/>
      <w:sz w:val="26"/>
    </w:rPr>
  </w:style>
  <w:style w:styleId="Style_21_ch" w:type="character">
    <w:name w:val="ConsPlusJurTerm"/>
    <w:link w:val="Style_21"/>
    <w:rPr>
      <w:rFonts w:ascii="Tahoma" w:hAnsi="Tahoma"/>
      <w:sz w:val="26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DocList"/>
    <w:link w:val="Style_24_ch"/>
    <w:pPr>
      <w:widowControl w:val="0"/>
      <w:ind/>
    </w:pPr>
    <w:rPr>
      <w:rFonts w:ascii="Tahoma" w:hAnsi="Tahoma"/>
      <w:sz w:val="18"/>
    </w:rPr>
  </w:style>
  <w:style w:styleId="Style_24_ch" w:type="character">
    <w:name w:val="ConsPlusDocList"/>
    <w:link w:val="Style_24"/>
    <w:rPr>
      <w:rFonts w:ascii="Tahoma" w:hAnsi="Tahoma"/>
      <w:sz w:val="1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TextList"/>
    <w:link w:val="Style_29_ch"/>
    <w:pPr>
      <w:widowControl w:val="0"/>
      <w:ind/>
    </w:pPr>
    <w:rPr>
      <w:rFonts w:ascii="Times New Roman" w:hAnsi="Times New Roman"/>
      <w:sz w:val="24"/>
    </w:rPr>
  </w:style>
  <w:style w:styleId="Style_29_ch" w:type="character">
    <w:name w:val="ConsPlusTextList"/>
    <w:link w:val="Style_29"/>
    <w:rPr>
      <w:rFonts w:ascii="Times New Roman" w:hAnsi="Times New Roman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2025-06-17T15:19:13Z</dcterms:modified>
</cp:coreProperties>
</file>